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23A9" w:rsidRDefault="00770883">
      <w:pPr>
        <w:spacing w:before="157" w:after="157" w:line="270" w:lineRule="auto"/>
      </w:pPr>
      <w:bookmarkStart w:id="0" w:name="bm_5_years_projection_for_nkbb_te_861420"/>
      <w:r>
        <w:rPr>
          <w:rFonts w:ascii="inter" w:eastAsia="inter" w:hAnsi="inter" w:cs="inter"/>
          <w:b/>
          <w:color w:val="000000"/>
          <w:sz w:val="39"/>
        </w:rPr>
        <w:t>5 years projection for NKBB Technologies – Detailed Project Plan (50-Seat IT Company Setup) Total Estimated Budget: ₹2.8 Cr – ₹3.6 Cr as Investment</w:t>
      </w:r>
      <w:bookmarkEnd w:id="0"/>
    </w:p>
    <w:p w:rsidR="00DE23A9" w:rsidRDefault="00770883">
      <w:pPr>
        <w:spacing w:after="210" w:line="360" w:lineRule="auto"/>
      </w:pPr>
      <w:r>
        <w:rPr>
          <w:rFonts w:ascii="inter" w:eastAsia="inter" w:hAnsi="inter" w:cs="inter"/>
          <w:color w:val="000000"/>
        </w:rPr>
        <w:t>Here is a 5-year financial projection for NKBB Technologies based on a total estimated investment budget of ₹2.8 crore to ₹3.6 crore for the 50-seat IT company setup:</w:t>
      </w:r>
    </w:p>
    <w:p w:rsidR="00DE23A9" w:rsidRDefault="00770883">
      <w:pPr>
        <w:spacing w:before="315" w:after="105" w:line="360" w:lineRule="auto"/>
        <w:ind w:left="-30"/>
      </w:pPr>
      <w:bookmarkStart w:id="1" w:name="bm_1_initial_investment_allocation_crore"/>
      <w:r>
        <w:rPr>
          <w:rFonts w:ascii="inter" w:eastAsia="inter" w:hAnsi="inter" w:cs="inter"/>
          <w:b/>
          <w:color w:val="000000"/>
          <w:sz w:val="24"/>
        </w:rPr>
        <w:t>1. Initial Investment Allocation (₹ Crore)</w:t>
      </w:r>
      <w:bookmarkEnd w:id="1"/>
    </w:p>
    <w:tbl>
      <w:tblPr>
        <w:tblStyle w:val="NormalGrid"/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32"/>
        <w:gridCol w:w="1497"/>
        <w:gridCol w:w="3655"/>
      </w:tblGrid>
      <w:tr w:rsidR="00DE23A9" w:rsidTr="00770883">
        <w:trPr>
          <w:cantSplit/>
          <w:tblCellSpacing w:w="0" w:type="dxa"/>
          <w:jc w:val="center"/>
        </w:trPr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Category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Estimated Range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Notes</w:t>
            </w:r>
          </w:p>
        </w:tc>
      </w:tr>
      <w:tr w:rsidR="00DE23A9" w:rsidTr="00770883">
        <w:trPr>
          <w:cantSplit/>
          <w:tblCellSpacing w:w="0" w:type="dxa"/>
          <w:jc w:val="center"/>
        </w:trPr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Office Interio</w:t>
            </w:r>
            <w:r>
              <w:rPr>
                <w:rFonts w:ascii="inter" w:eastAsia="inter" w:hAnsi="inter" w:cs="inter"/>
                <w:color w:val="000000"/>
                <w:sz w:val="17"/>
              </w:rPr>
              <w:t>rs &amp; Furniture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₹</w:t>
            </w:r>
            <w:r>
              <w:rPr>
                <w:rFonts w:ascii="inter" w:eastAsia="inter" w:hAnsi="inter" w:cs="inter"/>
                <w:color w:val="000000"/>
                <w:sz w:val="17"/>
              </w:rPr>
              <w:t>1.0 – ₹1.3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Modular workstations, meeting rooms, reception</w:t>
            </w:r>
          </w:p>
        </w:tc>
      </w:tr>
      <w:tr w:rsidR="00DE23A9" w:rsidTr="00770883">
        <w:trPr>
          <w:cantSplit/>
          <w:tblCellSpacing w:w="0" w:type="dxa"/>
          <w:jc w:val="center"/>
        </w:trPr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IT Infrastructure &amp; Equipment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₹</w:t>
            </w:r>
            <w:r>
              <w:rPr>
                <w:rFonts w:ascii="inter" w:eastAsia="inter" w:hAnsi="inter" w:cs="inter"/>
                <w:color w:val="000000"/>
                <w:sz w:val="17"/>
              </w:rPr>
              <w:t>0.8 – ₹1.1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PCs, network, servers, data center hardware</w:t>
            </w:r>
          </w:p>
        </w:tc>
      </w:tr>
      <w:tr w:rsidR="00DE23A9" w:rsidTr="00770883">
        <w:trPr>
          <w:cantSplit/>
          <w:tblCellSpacing w:w="0" w:type="dxa"/>
          <w:jc w:val="center"/>
        </w:trPr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Data Center Setup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₹</w:t>
            </w:r>
            <w:r>
              <w:rPr>
                <w:rFonts w:ascii="inter" w:eastAsia="inter" w:hAnsi="inter" w:cs="inter"/>
                <w:color w:val="000000"/>
                <w:sz w:val="17"/>
              </w:rPr>
              <w:t>0.5 – ₹0.7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Server racks, UPS, cooling, security systems</w:t>
            </w:r>
          </w:p>
        </w:tc>
      </w:tr>
      <w:tr w:rsidR="00DE23A9" w:rsidTr="00770883">
        <w:trPr>
          <w:cantSplit/>
          <w:tblCellSpacing w:w="0" w:type="dxa"/>
          <w:jc w:val="center"/>
        </w:trPr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Miscellaneous &amp; Contingency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₹</w:t>
            </w:r>
            <w:r>
              <w:rPr>
                <w:rFonts w:ascii="inter" w:eastAsia="inter" w:hAnsi="inter" w:cs="inter"/>
                <w:color w:val="000000"/>
                <w:sz w:val="17"/>
              </w:rPr>
              <w:t>0.5 – ₹0.6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 xml:space="preserve">Branding, </w:t>
            </w:r>
            <w:proofErr w:type="spellStart"/>
            <w:r>
              <w:rPr>
                <w:rFonts w:ascii="inter" w:eastAsia="inter" w:hAnsi="inter" w:cs="inter"/>
                <w:color w:val="000000"/>
                <w:sz w:val="17"/>
              </w:rPr>
              <w:t>signages</w:t>
            </w:r>
            <w:proofErr w:type="spellEnd"/>
            <w:r>
              <w:rPr>
                <w:rFonts w:ascii="inter" w:eastAsia="inter" w:hAnsi="inter" w:cs="inter"/>
                <w:color w:val="000000"/>
                <w:sz w:val="17"/>
              </w:rPr>
              <w:t>, unexpected costs, legal fees</w:t>
            </w:r>
          </w:p>
        </w:tc>
      </w:tr>
    </w:tbl>
    <w:p w:rsidR="00DE23A9" w:rsidRDefault="00DE23A9"/>
    <w:p w:rsidR="00DE23A9" w:rsidRDefault="00770883">
      <w:pPr>
        <w:spacing w:after="210" w:line="360" w:lineRule="auto"/>
      </w:pPr>
      <w:r>
        <w:rPr>
          <w:rFonts w:ascii="inter" w:eastAsia="inter" w:hAnsi="inter" w:cs="inter"/>
          <w:color w:val="000000"/>
        </w:rPr>
        <w:t xml:space="preserve">Total estimated budget: ₹2.8 crore – ₹3.6 crore reflects a comprehensive end-to-end setup for workspace and infrastructure including data </w:t>
      </w:r>
      <w:proofErr w:type="gramStart"/>
      <w:r>
        <w:rPr>
          <w:rFonts w:ascii="inter" w:eastAsia="inter" w:hAnsi="inter" w:cs="inter"/>
          <w:color w:val="000000"/>
        </w:rPr>
        <w:t>center[</w:t>
      </w:r>
      <w:proofErr w:type="gramEnd"/>
      <w:r>
        <w:rPr>
          <w:rFonts w:ascii="inter" w:eastAsia="inter" w:hAnsi="inter" w:cs="inter"/>
          <w:color w:val="000000"/>
        </w:rPr>
        <w:t>previous data].</w:t>
      </w:r>
    </w:p>
    <w:p w:rsidR="00DE23A9" w:rsidRDefault="00770883">
      <w:pPr>
        <w:spacing w:before="315" w:after="105" w:line="360" w:lineRule="auto"/>
        <w:ind w:left="-30"/>
      </w:pPr>
      <w:bookmarkStart w:id="2" w:name="bm_2_5_year_revenue_expense_proje_172c18"/>
      <w:r>
        <w:rPr>
          <w:rFonts w:ascii="inter" w:eastAsia="inter" w:hAnsi="inter" w:cs="inter"/>
          <w:b/>
          <w:color w:val="000000"/>
          <w:sz w:val="24"/>
        </w:rPr>
        <w:t>2. 5</w:t>
      </w:r>
      <w:r>
        <w:rPr>
          <w:rFonts w:ascii="inter" w:eastAsia="inter" w:hAnsi="inter" w:cs="inter"/>
          <w:b/>
          <w:color w:val="000000"/>
          <w:sz w:val="24"/>
        </w:rPr>
        <w:t>-Year Revenue &amp; Expense Projection (₹ Crore)</w:t>
      </w:r>
      <w:bookmarkEnd w:id="2"/>
    </w:p>
    <w:tbl>
      <w:tblPr>
        <w:tblStyle w:val="NormalGrid"/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9"/>
        <w:gridCol w:w="638"/>
        <w:gridCol w:w="638"/>
        <w:gridCol w:w="638"/>
        <w:gridCol w:w="638"/>
        <w:gridCol w:w="638"/>
      </w:tblGrid>
      <w:tr w:rsidR="00DE23A9" w:rsidTr="00770883">
        <w:trPr>
          <w:cantSplit/>
          <w:tblCellSpacing w:w="0" w:type="dxa"/>
          <w:jc w:val="center"/>
        </w:trPr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Year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1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2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3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4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5</w:t>
            </w:r>
          </w:p>
        </w:tc>
      </w:tr>
      <w:tr w:rsidR="00DE23A9" w:rsidTr="00770883">
        <w:trPr>
          <w:cantSplit/>
          <w:tblCellSpacing w:w="0" w:type="dxa"/>
          <w:jc w:val="center"/>
        </w:trPr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Revenue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2.1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3.1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4.4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6.0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7.6</w:t>
            </w:r>
          </w:p>
        </w:tc>
      </w:tr>
      <w:tr w:rsidR="00DE23A9" w:rsidTr="00770883">
        <w:trPr>
          <w:cantSplit/>
          <w:tblCellSpacing w:w="0" w:type="dxa"/>
          <w:jc w:val="center"/>
        </w:trPr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Operating Expense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1.9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2.3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2.8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3.4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4.2</w:t>
            </w:r>
          </w:p>
        </w:tc>
      </w:tr>
      <w:tr w:rsidR="00DE23A9" w:rsidTr="00770883">
        <w:trPr>
          <w:cantSplit/>
          <w:tblCellSpacing w:w="0" w:type="dxa"/>
          <w:jc w:val="center"/>
        </w:trPr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EBITDA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0.23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0.89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1.66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2.58</w:t>
            </w:r>
          </w:p>
        </w:tc>
        <w:tc>
          <w:tcPr>
            <w:tcW w:w="0" w:type="auto"/>
          </w:tcPr>
          <w:p w:rsidR="00DE23A9" w:rsidRDefault="00770883">
            <w:pPr>
              <w:spacing w:line="360" w:lineRule="auto"/>
            </w:pPr>
            <w:r>
              <w:rPr>
                <w:rFonts w:ascii="inter" w:eastAsia="inter" w:hAnsi="inter" w:cs="inter"/>
                <w:color w:val="000000"/>
                <w:sz w:val="17"/>
              </w:rPr>
              <w:t>3.42</w:t>
            </w:r>
          </w:p>
        </w:tc>
      </w:tr>
    </w:tbl>
    <w:p w:rsidR="00DE23A9" w:rsidRDefault="00DE23A9"/>
    <w:p w:rsidR="00DE23A9" w:rsidRDefault="00770883">
      <w:pPr>
        <w:spacing w:after="210" w:line="360" w:lineRule="auto"/>
      </w:pPr>
      <w:r>
        <w:rPr>
          <w:rFonts w:ascii="inter" w:eastAsia="inter" w:hAnsi="inter" w:cs="inter"/>
          <w:color w:val="000000"/>
        </w:rPr>
        <w:t>EBITDA margin improves from ~11% in Year 1 to ~45% in Year 5 reflecting operational optimization and economies of scale.</w:t>
      </w:r>
    </w:p>
    <w:p w:rsidR="00DE23A9" w:rsidRDefault="00770883">
      <w:pPr>
        <w:spacing w:before="315" w:after="105" w:line="360" w:lineRule="auto"/>
        <w:ind w:left="-30"/>
      </w:pPr>
      <w:bookmarkStart w:id="3" w:name="bm_3_capital_expenditure_capex_cash_flow"/>
      <w:r>
        <w:rPr>
          <w:rFonts w:ascii="inter" w:eastAsia="inter" w:hAnsi="inter" w:cs="inter"/>
          <w:b/>
          <w:color w:val="000000"/>
          <w:sz w:val="24"/>
        </w:rPr>
        <w:t>3. Capital Expenditure (</w:t>
      </w:r>
      <w:proofErr w:type="spellStart"/>
      <w:r>
        <w:rPr>
          <w:rFonts w:ascii="inter" w:eastAsia="inter" w:hAnsi="inter" w:cs="inter"/>
          <w:b/>
          <w:color w:val="000000"/>
          <w:sz w:val="24"/>
        </w:rPr>
        <w:t>CapEx</w:t>
      </w:r>
      <w:proofErr w:type="spellEnd"/>
      <w:r>
        <w:rPr>
          <w:rFonts w:ascii="inter" w:eastAsia="inter" w:hAnsi="inter" w:cs="inter"/>
          <w:b/>
          <w:color w:val="000000"/>
          <w:sz w:val="24"/>
        </w:rPr>
        <w:t>) &amp; Cash Flow</w:t>
      </w:r>
      <w:bookmarkEnd w:id="3"/>
    </w:p>
    <w:p w:rsidR="00DE23A9" w:rsidRDefault="00770883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Initial </w:t>
      </w:r>
      <w:proofErr w:type="spellStart"/>
      <w:r>
        <w:rPr>
          <w:rFonts w:ascii="inter" w:eastAsia="inter" w:hAnsi="inter" w:cs="inter"/>
          <w:color w:val="000000"/>
        </w:rPr>
        <w:t>CapEx</w:t>
      </w:r>
      <w:proofErr w:type="spellEnd"/>
      <w:r>
        <w:rPr>
          <w:rFonts w:ascii="inter" w:eastAsia="inter" w:hAnsi="inter" w:cs="inter"/>
          <w:color w:val="000000"/>
        </w:rPr>
        <w:t xml:space="preserve"> (Year 1): ₹2.8–3.6 crore (one-time upfront investment</w:t>
      </w:r>
      <w:proofErr w:type="gramStart"/>
      <w:r>
        <w:rPr>
          <w:rFonts w:ascii="inter" w:eastAsia="inter" w:hAnsi="inter" w:cs="inter"/>
          <w:color w:val="000000"/>
        </w:rPr>
        <w:t>)[</w:t>
      </w:r>
      <w:proofErr w:type="gramEnd"/>
      <w:r>
        <w:rPr>
          <w:rFonts w:ascii="inter" w:eastAsia="inter" w:hAnsi="inter" w:cs="inter"/>
          <w:color w:val="000000"/>
        </w:rPr>
        <w:t>previous data].</w:t>
      </w:r>
    </w:p>
    <w:p w:rsidR="00DE23A9" w:rsidRDefault="00770883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 xml:space="preserve">Annual </w:t>
      </w:r>
      <w:proofErr w:type="spellStart"/>
      <w:r>
        <w:rPr>
          <w:rFonts w:ascii="inter" w:eastAsia="inter" w:hAnsi="inter" w:cs="inter"/>
          <w:color w:val="000000"/>
        </w:rPr>
        <w:t>CapEx</w:t>
      </w:r>
      <w:proofErr w:type="spellEnd"/>
      <w:r>
        <w:rPr>
          <w:rFonts w:ascii="inter" w:eastAsia="inter" w:hAnsi="inter" w:cs="inter"/>
          <w:color w:val="000000"/>
        </w:rPr>
        <w:t xml:space="preserve"> (Years 2–5): ₹0.05–0.1 crore for upgrades and expansion.</w:t>
      </w:r>
    </w:p>
    <w:p w:rsidR="00DE23A9" w:rsidRDefault="00770883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Positive cash flow is expected from Year 1 onwards given forecast revenues exceed operating expenses.</w:t>
      </w:r>
    </w:p>
    <w:p w:rsidR="00DE23A9" w:rsidRDefault="00770883">
      <w:pPr>
        <w:numPr>
          <w:ilvl w:val="0"/>
          <w:numId w:val="1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lastRenderedPageBreak/>
        <w:t>Profitable by Year 1 and growing strongly by Year 5 with planned reinvestments.</w:t>
      </w:r>
    </w:p>
    <w:p w:rsidR="00DE23A9" w:rsidRDefault="00770883">
      <w:pPr>
        <w:spacing w:before="315" w:after="105" w:line="360" w:lineRule="auto"/>
        <w:ind w:left="-30"/>
      </w:pPr>
      <w:bookmarkStart w:id="4" w:name="bm_4_key_growth_drivers_and_assumptions"/>
      <w:r>
        <w:rPr>
          <w:rFonts w:ascii="inter" w:eastAsia="inter" w:hAnsi="inter" w:cs="inter"/>
          <w:b/>
          <w:color w:val="000000"/>
          <w:sz w:val="24"/>
        </w:rPr>
        <w:t>4. Key Grow</w:t>
      </w:r>
      <w:r>
        <w:rPr>
          <w:rFonts w:ascii="inter" w:eastAsia="inter" w:hAnsi="inter" w:cs="inter"/>
          <w:b/>
          <w:color w:val="000000"/>
          <w:sz w:val="24"/>
        </w:rPr>
        <w:t>th Drivers and Assumptions</w:t>
      </w:r>
      <w:bookmarkEnd w:id="4"/>
    </w:p>
    <w:p w:rsidR="00DE23A9" w:rsidRDefault="00770883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Gradual client portfolio expansion and multiple project engagements.</w:t>
      </w:r>
    </w:p>
    <w:p w:rsidR="00DE23A9" w:rsidRDefault="00770883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Upgrading data center capacity and IT assets to support increased workloads.</w:t>
      </w:r>
    </w:p>
    <w:p w:rsidR="00DE23A9" w:rsidRDefault="00770883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Managed IT services and recurring revenue streams increase over time.</w:t>
      </w:r>
    </w:p>
    <w:p w:rsidR="00DE23A9" w:rsidRDefault="00770883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Moderate annual increase (7-10%) in salary and overhead costs.</w:t>
      </w:r>
    </w:p>
    <w:p w:rsidR="00DE23A9" w:rsidRDefault="00770883">
      <w:pPr>
        <w:numPr>
          <w:ilvl w:val="0"/>
          <w:numId w:val="2"/>
        </w:numPr>
        <w:spacing w:before="105" w:after="105" w:line="360" w:lineRule="auto"/>
      </w:pPr>
      <w:r>
        <w:rPr>
          <w:rFonts w:ascii="inter" w:eastAsia="inter" w:hAnsi="inter" w:cs="inter"/>
          <w:color w:val="000000"/>
        </w:rPr>
        <w:t>Evolving technology stack and digital marketing capabilities.</w:t>
      </w:r>
    </w:p>
    <w:p w:rsidR="00DE23A9" w:rsidRDefault="00770883">
      <w:pPr>
        <w:spacing w:after="210" w:line="360" w:lineRule="auto"/>
      </w:pPr>
      <w:r>
        <w:rPr>
          <w:rFonts w:ascii="inter" w:eastAsia="inter" w:hAnsi="inter" w:cs="inter"/>
          <w:color w:val="000000"/>
        </w:rPr>
        <w:t>This financial outlook is designed to help NKBB Technologies strategically manage investments and forecast business growth for a ro</w:t>
      </w:r>
      <w:r>
        <w:rPr>
          <w:rFonts w:ascii="inter" w:eastAsia="inter" w:hAnsi="inter" w:cs="inter"/>
          <w:color w:val="000000"/>
        </w:rPr>
        <w:t>bust 50-seat IT operations center with a capable in-house data center.</w:t>
      </w:r>
      <w:bookmarkStart w:id="5" w:name="fnref1"/>
      <w:bookmarkEnd w:id="5"/>
      <w:r>
        <w:fldChar w:fldCharType="begin"/>
      </w:r>
      <w:r>
        <w:instrText xml:space="preserve"> HYPERLINK \l "fn1" \h </w:instrText>
      </w:r>
      <w:r>
        <w:fldChar w:fldCharType="separate"/>
      </w:r>
      <w:r>
        <w:rPr>
          <w:rFonts w:ascii="inter" w:eastAsia="inter" w:hAnsi="inter" w:cs="inter"/>
          <w:u w:val="single"/>
          <w:vertAlign w:val="superscript"/>
        </w:rPr>
        <w:t>[1</w:t>
      </w:r>
      <w:proofErr w:type="gramStart"/>
      <w:r>
        <w:rPr>
          <w:rFonts w:ascii="inter" w:eastAsia="inter" w:hAnsi="inter" w:cs="inter"/>
          <w:u w:val="single"/>
          <w:vertAlign w:val="superscript"/>
        </w:rPr>
        <w:t>]</w:t>
      </w:r>
      <w:proofErr w:type="gramEnd"/>
      <w:r>
        <w:rPr>
          <w:rFonts w:ascii="inter" w:eastAsia="inter" w:hAnsi="inter" w:cs="inter"/>
          <w:u w:val="single"/>
          <w:vertAlign w:val="superscript"/>
        </w:rPr>
        <w:fldChar w:fldCharType="end"/>
      </w:r>
      <w:bookmarkStart w:id="6" w:name="fnref2"/>
      <w:bookmarkEnd w:id="6"/>
      <w:r>
        <w:fldChar w:fldCharType="begin"/>
      </w:r>
      <w:r>
        <w:instrText xml:space="preserve"> HYPERLINK \l "fn2" \h </w:instrText>
      </w:r>
      <w:r>
        <w:fldChar w:fldCharType="separate"/>
      </w:r>
      <w:r>
        <w:rPr>
          <w:rFonts w:ascii="inter" w:eastAsia="inter" w:hAnsi="inter" w:cs="inter"/>
          <w:u w:val="single"/>
          <w:vertAlign w:val="superscript"/>
        </w:rPr>
        <w:t>[2]</w:t>
      </w:r>
      <w:r>
        <w:rPr>
          <w:rFonts w:ascii="inter" w:eastAsia="inter" w:hAnsi="inter" w:cs="inter"/>
          <w:u w:val="single"/>
          <w:vertAlign w:val="superscript"/>
        </w:rPr>
        <w:fldChar w:fldCharType="end"/>
      </w:r>
      <w:bookmarkStart w:id="7" w:name="_GoBack"/>
      <w:bookmarkEnd w:id="7"/>
    </w:p>
    <w:sectPr w:rsidR="00DE23A9">
      <w:pgSz w:w="12240" w:h="15840"/>
      <w:pgMar w:top="1365" w:right="1365" w:bottom="1365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676721"/>
    <w:multiLevelType w:val="hybridMultilevel"/>
    <w:tmpl w:val="45427FE4"/>
    <w:lvl w:ilvl="0" w:tplc="DE4A7D10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FEA00E0">
      <w:numFmt w:val="decimal"/>
      <w:lvlText w:val=""/>
      <w:lvlJc w:val="left"/>
    </w:lvl>
    <w:lvl w:ilvl="2" w:tplc="F3242FE8">
      <w:numFmt w:val="decimal"/>
      <w:lvlText w:val=""/>
      <w:lvlJc w:val="left"/>
    </w:lvl>
    <w:lvl w:ilvl="3" w:tplc="35C6587E">
      <w:numFmt w:val="decimal"/>
      <w:lvlText w:val=""/>
      <w:lvlJc w:val="left"/>
    </w:lvl>
    <w:lvl w:ilvl="4" w:tplc="4A84146E">
      <w:numFmt w:val="decimal"/>
      <w:lvlText w:val=""/>
      <w:lvlJc w:val="left"/>
    </w:lvl>
    <w:lvl w:ilvl="5" w:tplc="25268764">
      <w:numFmt w:val="decimal"/>
      <w:lvlText w:val=""/>
      <w:lvlJc w:val="left"/>
    </w:lvl>
    <w:lvl w:ilvl="6" w:tplc="9CD04110">
      <w:numFmt w:val="decimal"/>
      <w:lvlText w:val=""/>
      <w:lvlJc w:val="left"/>
    </w:lvl>
    <w:lvl w:ilvl="7" w:tplc="74BCB20A">
      <w:numFmt w:val="decimal"/>
      <w:lvlText w:val=""/>
      <w:lvlJc w:val="left"/>
    </w:lvl>
    <w:lvl w:ilvl="8" w:tplc="CDD02F2E">
      <w:numFmt w:val="decimal"/>
      <w:lvlText w:val=""/>
      <w:lvlJc w:val="left"/>
    </w:lvl>
  </w:abstractNum>
  <w:abstractNum w:abstractNumId="1" w15:restartNumberingAfterBreak="0">
    <w:nsid w:val="3B9215FC"/>
    <w:multiLevelType w:val="hybridMultilevel"/>
    <w:tmpl w:val="1B7259A2"/>
    <w:lvl w:ilvl="0" w:tplc="016E5A24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6DD025EA">
      <w:numFmt w:val="decimal"/>
      <w:lvlText w:val=""/>
      <w:lvlJc w:val="left"/>
    </w:lvl>
    <w:lvl w:ilvl="2" w:tplc="D138FA8E">
      <w:numFmt w:val="decimal"/>
      <w:lvlText w:val=""/>
      <w:lvlJc w:val="left"/>
    </w:lvl>
    <w:lvl w:ilvl="3" w:tplc="A030F99A">
      <w:numFmt w:val="decimal"/>
      <w:lvlText w:val=""/>
      <w:lvlJc w:val="left"/>
    </w:lvl>
    <w:lvl w:ilvl="4" w:tplc="33687674">
      <w:numFmt w:val="decimal"/>
      <w:lvlText w:val=""/>
      <w:lvlJc w:val="left"/>
    </w:lvl>
    <w:lvl w:ilvl="5" w:tplc="99D61E78">
      <w:numFmt w:val="decimal"/>
      <w:lvlText w:val=""/>
      <w:lvlJc w:val="left"/>
    </w:lvl>
    <w:lvl w:ilvl="6" w:tplc="47CA66BA">
      <w:numFmt w:val="decimal"/>
      <w:lvlText w:val=""/>
      <w:lvlJc w:val="left"/>
    </w:lvl>
    <w:lvl w:ilvl="7" w:tplc="4CBE71F6">
      <w:numFmt w:val="decimal"/>
      <w:lvlText w:val=""/>
      <w:lvlJc w:val="left"/>
    </w:lvl>
    <w:lvl w:ilvl="8" w:tplc="5E5C75E8">
      <w:numFmt w:val="decimal"/>
      <w:lvlText w:val=""/>
      <w:lvlJc w:val="left"/>
    </w:lvl>
  </w:abstractNum>
  <w:abstractNum w:abstractNumId="2" w15:restartNumberingAfterBreak="0">
    <w:nsid w:val="40F256B9"/>
    <w:multiLevelType w:val="hybridMultilevel"/>
    <w:tmpl w:val="872C023C"/>
    <w:lvl w:ilvl="0" w:tplc="0FE8A940">
      <w:numFmt w:val="decimal"/>
      <w:lvlText w:val=""/>
      <w:lvlJc w:val="left"/>
    </w:lvl>
    <w:lvl w:ilvl="1" w:tplc="9C7A9B0E">
      <w:numFmt w:val="decimal"/>
      <w:lvlText w:val=""/>
      <w:lvlJc w:val="left"/>
    </w:lvl>
    <w:lvl w:ilvl="2" w:tplc="18A03978">
      <w:numFmt w:val="decimal"/>
      <w:lvlText w:val=""/>
      <w:lvlJc w:val="left"/>
    </w:lvl>
    <w:lvl w:ilvl="3" w:tplc="32625582">
      <w:numFmt w:val="decimal"/>
      <w:lvlText w:val=""/>
      <w:lvlJc w:val="left"/>
    </w:lvl>
    <w:lvl w:ilvl="4" w:tplc="AD2AD652">
      <w:numFmt w:val="decimal"/>
      <w:lvlText w:val=""/>
      <w:lvlJc w:val="left"/>
    </w:lvl>
    <w:lvl w:ilvl="5" w:tplc="B34A8BEC">
      <w:numFmt w:val="decimal"/>
      <w:lvlText w:val=""/>
      <w:lvlJc w:val="left"/>
    </w:lvl>
    <w:lvl w:ilvl="6" w:tplc="65284FD8">
      <w:numFmt w:val="decimal"/>
      <w:lvlText w:val=""/>
      <w:lvlJc w:val="left"/>
    </w:lvl>
    <w:lvl w:ilvl="7" w:tplc="83DC0640">
      <w:numFmt w:val="decimal"/>
      <w:lvlText w:val=""/>
      <w:lvlJc w:val="left"/>
    </w:lvl>
    <w:lvl w:ilvl="8" w:tplc="36027D88">
      <w:numFmt w:val="decimal"/>
      <w:lvlText w:val=""/>
      <w:lvlJc w:val="left"/>
    </w:lvl>
  </w:abstractNum>
  <w:abstractNum w:abstractNumId="3" w15:restartNumberingAfterBreak="0">
    <w:nsid w:val="5E175585"/>
    <w:multiLevelType w:val="hybridMultilevel"/>
    <w:tmpl w:val="11F2C34C"/>
    <w:lvl w:ilvl="0" w:tplc="F174A108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2190F78E">
      <w:numFmt w:val="decimal"/>
      <w:lvlText w:val=""/>
      <w:lvlJc w:val="left"/>
    </w:lvl>
    <w:lvl w:ilvl="2" w:tplc="AD1A5730">
      <w:numFmt w:val="decimal"/>
      <w:lvlText w:val=""/>
      <w:lvlJc w:val="left"/>
    </w:lvl>
    <w:lvl w:ilvl="3" w:tplc="692C5D80">
      <w:numFmt w:val="decimal"/>
      <w:lvlText w:val=""/>
      <w:lvlJc w:val="left"/>
    </w:lvl>
    <w:lvl w:ilvl="4" w:tplc="75FA9D58">
      <w:numFmt w:val="decimal"/>
      <w:lvlText w:val=""/>
      <w:lvlJc w:val="left"/>
    </w:lvl>
    <w:lvl w:ilvl="5" w:tplc="D7740920">
      <w:numFmt w:val="decimal"/>
      <w:lvlText w:val=""/>
      <w:lvlJc w:val="left"/>
    </w:lvl>
    <w:lvl w:ilvl="6" w:tplc="5C64EBDA">
      <w:numFmt w:val="decimal"/>
      <w:lvlText w:val=""/>
      <w:lvlJc w:val="left"/>
    </w:lvl>
    <w:lvl w:ilvl="7" w:tplc="881C30D6">
      <w:numFmt w:val="decimal"/>
      <w:lvlText w:val=""/>
      <w:lvlJc w:val="left"/>
    </w:lvl>
    <w:lvl w:ilvl="8" w:tplc="0B9CDCD6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3A9"/>
    <w:rsid w:val="00770883"/>
    <w:rsid w:val="00DE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083F2A-7B97-41D7-A992-A55C216B9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TableNormal"/>
    <w:uiPriority w:val="39"/>
    <w:pPr>
      <w:spacing w:after="0" w:line="240" w:lineRule="auto"/>
    </w:p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328</Words>
  <Characters>1873</Characters>
  <Application>Microsoft Office Word</Application>
  <DocSecurity>0</DocSecurity>
  <Lines>15</Lines>
  <Paragraphs>4</Paragraphs>
  <ScaleCrop>false</ScaleCrop>
  <Company/>
  <LinksUpToDate>false</LinksUpToDate>
  <CharactersWithSpaces>2197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user</cp:lastModifiedBy>
  <cp:revision>2</cp:revision>
  <dcterms:created xsi:type="dcterms:W3CDTF">2025-11-25T17:24:00Z</dcterms:created>
  <dcterms:modified xsi:type="dcterms:W3CDTF">2025-11-25T17:27:00Z</dcterms:modified>
</cp:coreProperties>
</file>